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330" w:rsidRPr="00B66330" w:rsidRDefault="00B66330" w:rsidP="00A45B17">
      <w:pPr>
        <w:spacing w:line="240" w:lineRule="auto"/>
        <w:jc w:val="both"/>
        <w:rPr>
          <w:rFonts w:ascii="Arial" w:hAnsi="Arial" w:cs="Arial"/>
          <w:b/>
        </w:rPr>
      </w:pPr>
    </w:p>
    <w:p w:rsidR="00B66330" w:rsidRPr="00B66330" w:rsidRDefault="00B66330" w:rsidP="00A45B17">
      <w:pPr>
        <w:spacing w:line="240" w:lineRule="auto"/>
        <w:jc w:val="both"/>
        <w:rPr>
          <w:rFonts w:ascii="Arial" w:hAnsi="Arial" w:cs="Arial"/>
          <w:b/>
        </w:rPr>
      </w:pPr>
    </w:p>
    <w:p w:rsidR="00B66330" w:rsidRPr="00B66330" w:rsidRDefault="00B66330" w:rsidP="00A45B17">
      <w:pPr>
        <w:spacing w:line="240" w:lineRule="auto"/>
        <w:jc w:val="both"/>
        <w:rPr>
          <w:rFonts w:ascii="Arial" w:hAnsi="Arial" w:cs="Arial"/>
          <w:b/>
        </w:rPr>
      </w:pPr>
    </w:p>
    <w:p w:rsidR="006B36B5" w:rsidRPr="00B66330" w:rsidRDefault="00B66330" w:rsidP="00B66330">
      <w:pPr>
        <w:shd w:val="clear" w:color="auto" w:fill="FFC000"/>
        <w:spacing w:line="240" w:lineRule="auto"/>
        <w:jc w:val="center"/>
        <w:rPr>
          <w:rFonts w:ascii="Arial" w:hAnsi="Arial" w:cs="Arial"/>
          <w:b/>
          <w:sz w:val="52"/>
          <w:szCs w:val="52"/>
        </w:rPr>
      </w:pPr>
      <w:r w:rsidRPr="00B66330">
        <w:rPr>
          <w:rFonts w:ascii="Arial" w:hAnsi="Arial" w:cs="Arial"/>
          <w:b/>
          <w:sz w:val="52"/>
          <w:szCs w:val="52"/>
        </w:rPr>
        <w:t xml:space="preserve">Annex 7.1: </w:t>
      </w:r>
      <w:proofErr w:type="spellStart"/>
      <w:r w:rsidR="006B36B5" w:rsidRPr="00B66330">
        <w:rPr>
          <w:rFonts w:ascii="Arial" w:hAnsi="Arial" w:cs="Arial"/>
          <w:b/>
          <w:sz w:val="52"/>
          <w:szCs w:val="52"/>
        </w:rPr>
        <w:t>M&amp;</w:t>
      </w:r>
      <w:r w:rsidR="0035086D" w:rsidRPr="00B66330">
        <w:rPr>
          <w:rFonts w:ascii="Arial" w:hAnsi="Arial" w:cs="Arial"/>
          <w:b/>
          <w:sz w:val="52"/>
          <w:szCs w:val="52"/>
        </w:rPr>
        <w:t>E</w:t>
      </w:r>
      <w:proofErr w:type="spellEnd"/>
      <w:r w:rsidR="00374A3F" w:rsidRPr="00B66330">
        <w:rPr>
          <w:rFonts w:ascii="Arial" w:hAnsi="Arial" w:cs="Arial"/>
          <w:b/>
          <w:sz w:val="52"/>
          <w:szCs w:val="52"/>
        </w:rPr>
        <w:t xml:space="preserve"> </w:t>
      </w:r>
      <w:r w:rsidR="00EF76CA" w:rsidRPr="00B66330">
        <w:rPr>
          <w:rFonts w:ascii="Arial" w:hAnsi="Arial" w:cs="Arial"/>
          <w:b/>
          <w:sz w:val="52"/>
          <w:szCs w:val="52"/>
        </w:rPr>
        <w:t>Vocabulary</w:t>
      </w:r>
      <w:r w:rsidR="0035086D" w:rsidRPr="00B66330">
        <w:rPr>
          <w:rFonts w:ascii="Arial" w:hAnsi="Arial" w:cs="Arial"/>
          <w:b/>
          <w:sz w:val="52"/>
          <w:szCs w:val="52"/>
        </w:rPr>
        <w:t xml:space="preserve"> and References</w:t>
      </w:r>
    </w:p>
    <w:p w:rsidR="0035086D" w:rsidRPr="00B66330" w:rsidRDefault="00B66330" w:rsidP="00B66330">
      <w:pPr>
        <w:pBdr>
          <w:top w:val="single" w:sz="4" w:space="1" w:color="auto"/>
          <w:left w:val="single" w:sz="4" w:space="4" w:color="auto"/>
          <w:bottom w:val="single" w:sz="4" w:space="1" w:color="auto"/>
          <w:right w:val="single" w:sz="4" w:space="4" w:color="auto"/>
        </w:pBdr>
        <w:spacing w:line="240" w:lineRule="auto"/>
        <w:rPr>
          <w:rFonts w:ascii="Arial" w:hAnsi="Arial" w:cs="Arial"/>
          <w:b/>
          <w:lang w:eastAsia="ja-JP"/>
        </w:rPr>
      </w:pPr>
      <w:r>
        <w:rPr>
          <w:rFonts w:ascii="Arial" w:hAnsi="Arial" w:cs="Arial"/>
          <w:b/>
          <w:lang w:eastAsia="ja-JP"/>
        </w:rPr>
        <w:t xml:space="preserve">Note: </w:t>
      </w:r>
      <w:r w:rsidR="0035086D" w:rsidRPr="00B66330">
        <w:rPr>
          <w:rFonts w:ascii="Arial" w:hAnsi="Arial" w:cs="Arial"/>
          <w:b/>
          <w:lang w:eastAsia="ja-JP"/>
        </w:rPr>
        <w:t xml:space="preserve">Unless otherwise specified, the below definitions are drawn from the IRC Monitoring for Action glossary. </w:t>
      </w:r>
    </w:p>
    <w:tbl>
      <w:tblPr>
        <w:tblStyle w:val="ListTable1Light-Accent6"/>
        <w:tblW w:w="9434" w:type="dxa"/>
        <w:tblLook w:val="04A0" w:firstRow="1" w:lastRow="0" w:firstColumn="1" w:lastColumn="0" w:noHBand="0" w:noVBand="1"/>
      </w:tblPr>
      <w:tblGrid>
        <w:gridCol w:w="1943"/>
        <w:gridCol w:w="7491"/>
      </w:tblGrid>
      <w:tr w:rsidR="0035086D" w:rsidRPr="00B66330" w:rsidTr="00B66330">
        <w:trPr>
          <w:cnfStyle w:val="100000000000" w:firstRow="1" w:lastRow="0" w:firstColumn="0" w:lastColumn="0" w:oddVBand="0" w:evenVBand="0" w:oddHBand="0"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943" w:type="dxa"/>
            <w:tcBorders>
              <w:bottom w:val="none" w:sz="0" w:space="0" w:color="auto"/>
            </w:tcBorders>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Analysis</w:t>
            </w:r>
          </w:p>
        </w:tc>
        <w:tc>
          <w:tcPr>
            <w:tcW w:w="7491" w:type="dxa"/>
            <w:tcBorders>
              <w:bottom w:val="none" w:sz="0" w:space="0" w:color="auto"/>
            </w:tcBorders>
            <w:vAlign w:val="center"/>
          </w:tcPr>
          <w:p w:rsidR="0035086D" w:rsidRPr="00B66330" w:rsidRDefault="0035086D" w:rsidP="00237AE7">
            <w:pPr>
              <w:autoSpaceDE w:val="0"/>
              <w:autoSpaceDN w:val="0"/>
              <w:adjustRightInd w:val="0"/>
              <w:spacing w:after="160"/>
              <w:cnfStyle w:val="100000000000" w:firstRow="1" w:lastRow="0" w:firstColumn="0" w:lastColumn="0" w:oddVBand="0" w:evenVBand="0" w:oddHBand="0" w:evenHBand="0" w:firstRowFirstColumn="0" w:firstRowLastColumn="0" w:lastRowFirstColumn="0" w:lastRowLastColumn="0"/>
              <w:rPr>
                <w:rFonts w:ascii="Arial" w:hAnsi="Arial" w:cs="Arial"/>
              </w:rPr>
            </w:pPr>
            <w:r w:rsidRPr="00B66330">
              <w:rPr>
                <w:rFonts w:ascii="Arial" w:hAnsi="Arial" w:cs="Arial"/>
                <w:b w:val="0"/>
                <w:lang w:val="en-GB"/>
              </w:rPr>
              <w:t>Transforming raw data into usable information</w:t>
            </w:r>
            <w:r w:rsidRPr="00B66330">
              <w:rPr>
                <w:rFonts w:ascii="Arial" w:hAnsi="Arial" w:cs="Arial"/>
                <w:lang w:val="en-GB"/>
              </w:rPr>
              <w:t>.</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943" w:type="dxa"/>
            <w:tcBorders>
              <w:top w:val="none" w:sz="0" w:space="0" w:color="auto"/>
            </w:tcBorders>
            <w:shd w:val="clear" w:color="auto" w:fill="FFFFFF" w:themeFill="background1"/>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Baseline assessment</w:t>
            </w:r>
          </w:p>
        </w:tc>
        <w:tc>
          <w:tcPr>
            <w:tcW w:w="7491" w:type="dxa"/>
            <w:tcBorders>
              <w:top w:val="none" w:sz="0" w:space="0" w:color="auto"/>
            </w:tcBorders>
            <w:shd w:val="clear" w:color="auto" w:fill="FFFFFF" w:themeFill="background1"/>
            <w:vAlign w:val="center"/>
          </w:tcPr>
          <w:p w:rsidR="0035086D" w:rsidRPr="00B66330" w:rsidRDefault="0035086D" w:rsidP="00237AE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B66330">
              <w:rPr>
                <w:rFonts w:ascii="Arial" w:hAnsi="Arial" w:cs="Arial"/>
              </w:rPr>
              <w:t>The purpose of the baseline assessment is to measure the indicators you are interested in influencing before a program begins.</w:t>
            </w:r>
          </w:p>
        </w:tc>
      </w:tr>
      <w:tr w:rsidR="0035086D" w:rsidRPr="00B66330" w:rsidTr="00237AE7">
        <w:trPr>
          <w:trHeight w:val="465"/>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Context analysis</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Analysis of local issues and dynamics to inform IRC programming and design</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Data</w:t>
            </w:r>
            <w:bookmarkStart w:id="0" w:name="_GoBack"/>
            <w:bookmarkEnd w:id="0"/>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A series of observations, measurements or facts.  Facts or pieces of information.</w:t>
            </w:r>
          </w:p>
        </w:tc>
      </w:tr>
      <w:tr w:rsidR="0035086D" w:rsidRPr="00B66330" w:rsidTr="00237AE7">
        <w:trPr>
          <w:trHeight w:val="706"/>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Data collection</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FFFFFF"/>
              </w:rPr>
            </w:pPr>
            <w:r w:rsidRPr="00B66330">
              <w:rPr>
                <w:rFonts w:ascii="Arial" w:hAnsi="Arial" w:cs="Arial"/>
                <w:lang w:val="en-GB"/>
              </w:rPr>
              <w:t>Ongoing systematic collection of data necessary for designing, implementing and monitoring projects</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1550"/>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End of project learning review</w:t>
            </w:r>
          </w:p>
        </w:tc>
        <w:tc>
          <w:tcPr>
            <w:tcW w:w="7491" w:type="dxa"/>
            <w:shd w:val="clear" w:color="auto" w:fill="FFFFFF" w:themeFill="background1"/>
            <w:vAlign w:val="center"/>
          </w:tcPr>
          <w:p w:rsidR="0035086D" w:rsidRPr="00B66330" w:rsidRDefault="0035086D" w:rsidP="00237AE7">
            <w:pPr>
              <w:autoSpaceDE w:val="0"/>
              <w:autoSpaceDN w:val="0"/>
              <w:adjustRightInd w:val="0"/>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 xml:space="preserve">An end of project learning review is </w:t>
            </w:r>
            <w:r w:rsidRPr="00B66330">
              <w:rPr>
                <w:rFonts w:ascii="Arial" w:hAnsi="Arial" w:cs="Arial"/>
              </w:rPr>
              <w:t>a process of reflection (via meeting, workshop, or other form of consultation) in the final weeks of the project to reflect on successes and challenges and capture project learning for the continuous refinement  of programmatic best practice.  End of project learning reviews are led by the project manager or technical coordinator and involve relevant project management, implementation and technical support staff.</w:t>
            </w:r>
          </w:p>
        </w:tc>
      </w:tr>
      <w:tr w:rsidR="0035086D" w:rsidRPr="00B66330" w:rsidTr="00237AE7">
        <w:trPr>
          <w:trHeight w:val="927"/>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i/>
                <w:lang w:val="en-GB"/>
              </w:rPr>
            </w:pPr>
            <w:r w:rsidRPr="00B66330">
              <w:rPr>
                <w:rFonts w:ascii="Arial" w:hAnsi="Arial" w:cs="Arial"/>
                <w:lang w:val="en-GB"/>
              </w:rPr>
              <w:t>E</w:t>
            </w:r>
            <w:r w:rsidRPr="00B66330">
              <w:rPr>
                <w:rFonts w:ascii="Arial" w:hAnsi="Arial" w:cs="Arial"/>
                <w:i/>
                <w:lang w:val="en-GB"/>
              </w:rPr>
              <w:t>v</w:t>
            </w:r>
            <w:r w:rsidRPr="00B66330">
              <w:rPr>
                <w:rFonts w:ascii="Arial" w:hAnsi="Arial" w:cs="Arial"/>
                <w:lang w:val="en-GB"/>
              </w:rPr>
              <w:t>aluation</w:t>
            </w:r>
          </w:p>
        </w:tc>
        <w:tc>
          <w:tcPr>
            <w:tcW w:w="7491" w:type="dxa"/>
            <w:vAlign w:val="center"/>
          </w:tcPr>
          <w:p w:rsidR="0035086D" w:rsidRPr="00B66330" w:rsidRDefault="0035086D" w:rsidP="00237AE7">
            <w:pPr>
              <w:autoSpaceDE w:val="0"/>
              <w:autoSpaceDN w:val="0"/>
              <w:adjustRightInd w:val="0"/>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A one-time (as opposed to ongoing) function that reports on progress of actual versus expected results. Information and learning from evaluation are used to inform future projects and organizational learning.</w:t>
            </w:r>
            <w:r w:rsidRPr="00B66330">
              <w:rPr>
                <w:rStyle w:val="FootnoteReference"/>
                <w:rFonts w:ascii="Arial" w:hAnsi="Arial" w:cs="Arial"/>
                <w:lang w:val="en-GB"/>
              </w:rPr>
              <w:footnoteReference w:id="1"/>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Impact</w:t>
            </w:r>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rPr>
              <w:t>The effect of an intervention on the outcome for the beneficiary population.   Changes in an outcome that are attributable to the intervention.</w:t>
            </w:r>
            <w:r w:rsidRPr="00B66330">
              <w:rPr>
                <w:rStyle w:val="FootnoteReference"/>
                <w:rFonts w:ascii="Arial" w:hAnsi="Arial" w:cs="Arial"/>
              </w:rPr>
              <w:footnoteReference w:id="2"/>
            </w:r>
          </w:p>
        </w:tc>
      </w:tr>
      <w:tr w:rsidR="0035086D" w:rsidRPr="00B66330" w:rsidTr="00237AE7">
        <w:trPr>
          <w:trHeight w:val="931"/>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Indicator</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rPr>
              <w:t>Quantitative or qualitative factor or variable that provides a simple and reliable means to measure achievement [or] to reflect the changes connected to an intervention</w:t>
            </w:r>
            <w:r w:rsidRPr="00B66330">
              <w:rPr>
                <w:rStyle w:val="FootnoteReference"/>
                <w:rFonts w:ascii="Arial" w:hAnsi="Arial" w:cs="Arial"/>
              </w:rPr>
              <w:footnoteReference w:id="3"/>
            </w:r>
            <w:r w:rsidRPr="00B66330">
              <w:rPr>
                <w:rFonts w:ascii="Arial" w:hAnsi="Arial" w:cs="Arial"/>
              </w:rPr>
              <w:t>.</w:t>
            </w:r>
            <w:r w:rsidRPr="00B66330">
              <w:rPr>
                <w:rFonts w:ascii="Arial" w:hAnsi="Arial" w:cs="Arial"/>
                <w:lang w:val="en-GB"/>
              </w:rPr>
              <w:t xml:space="preserve"> </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931"/>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lastRenderedPageBreak/>
              <w:t>Indicator matrix</w:t>
            </w:r>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 xml:space="preserve">A table that builds upon a project’s </w:t>
            </w:r>
            <w:proofErr w:type="spellStart"/>
            <w:r w:rsidRPr="00B66330">
              <w:rPr>
                <w:rFonts w:ascii="Arial" w:hAnsi="Arial" w:cs="Arial"/>
                <w:lang w:val="en-GB"/>
              </w:rPr>
              <w:t>logframe</w:t>
            </w:r>
            <w:proofErr w:type="spellEnd"/>
            <w:r w:rsidRPr="00B66330">
              <w:rPr>
                <w:rFonts w:ascii="Arial" w:hAnsi="Arial" w:cs="Arial"/>
                <w:lang w:val="en-GB"/>
              </w:rPr>
              <w:t xml:space="preserve"> to specify targets and milestones and provide key detail related to the calculation, purpose, and use of indicators and the disaggregation, source, and frequency of data collection.   </w:t>
            </w:r>
          </w:p>
        </w:tc>
      </w:tr>
      <w:tr w:rsidR="0035086D" w:rsidRPr="00B66330" w:rsidTr="00237AE7">
        <w:trPr>
          <w:trHeight w:val="631"/>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lang w:val="en-GB"/>
              </w:rPr>
            </w:pPr>
            <w:r w:rsidRPr="00B66330">
              <w:rPr>
                <w:rFonts w:ascii="Arial" w:hAnsi="Arial" w:cs="Arial"/>
                <w:lang w:val="en-GB"/>
              </w:rPr>
              <w:t>Knowledge management</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Capturing, developing, sharing and effectively using organisational knowledge.</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916"/>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color w:val="000000" w:themeColor="text1"/>
                <w:lang w:val="en-GB"/>
              </w:rPr>
            </w:pPr>
            <w:proofErr w:type="spellStart"/>
            <w:r w:rsidRPr="00B66330">
              <w:rPr>
                <w:rFonts w:ascii="Arial" w:hAnsi="Arial" w:cs="Arial"/>
                <w:color w:val="000000" w:themeColor="text1"/>
                <w:lang w:val="en-GB"/>
              </w:rPr>
              <w:t>Logframe</w:t>
            </w:r>
            <w:proofErr w:type="spellEnd"/>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 xml:space="preserve">A table or matrix that summarizes the key elements of a project strategy (e.g. the project goal, objective, intended effects, planned outputs, and major activities), outlines indicators that will be used to measure progress, the source of data, and assumptions necessary for project success. </w:t>
            </w:r>
          </w:p>
        </w:tc>
      </w:tr>
      <w:tr w:rsidR="0035086D" w:rsidRPr="00B66330" w:rsidTr="00237AE7">
        <w:trPr>
          <w:trHeight w:val="702"/>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spacing w:after="160"/>
              <w:rPr>
                <w:rFonts w:ascii="Arial" w:hAnsi="Arial" w:cs="Arial"/>
                <w:color w:val="000000" w:themeColor="text1"/>
                <w:lang w:val="en-GB"/>
              </w:rPr>
            </w:pPr>
            <w:r w:rsidRPr="00B66330">
              <w:rPr>
                <w:rFonts w:ascii="Arial" w:hAnsi="Arial" w:cs="Arial"/>
                <w:color w:val="000000" w:themeColor="text1"/>
                <w:lang w:val="en-GB"/>
              </w:rPr>
              <w:t>Means of verification</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Lays out how you gather the information necessary to track a particular indicator.</w:t>
            </w:r>
            <w:r w:rsidRPr="00B66330">
              <w:rPr>
                <w:rStyle w:val="FootnoteReference"/>
                <w:rFonts w:ascii="Arial" w:hAnsi="Arial" w:cs="Arial"/>
                <w:lang w:val="en-GB"/>
              </w:rPr>
              <w:footnoteReference w:id="4"/>
            </w:r>
            <w:r w:rsidRPr="00B66330">
              <w:rPr>
                <w:rFonts w:ascii="Arial" w:hAnsi="Arial" w:cs="Arial"/>
                <w:lang w:val="en-GB"/>
              </w:rPr>
              <w:t xml:space="preserve"> </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1334"/>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spacing w:after="160"/>
              <w:rPr>
                <w:rFonts w:ascii="Arial" w:hAnsi="Arial" w:cs="Arial"/>
                <w:iCs/>
                <w:color w:val="000000" w:themeColor="text1"/>
                <w:lang w:val="en-GB"/>
              </w:rPr>
            </w:pPr>
            <w:r w:rsidRPr="00B66330">
              <w:rPr>
                <w:rFonts w:ascii="Arial" w:hAnsi="Arial" w:cs="Arial"/>
                <w:color w:val="000000" w:themeColor="text1"/>
                <w:lang w:val="en-GB"/>
              </w:rPr>
              <w:t>Monitoring</w:t>
            </w:r>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rPr>
            </w:pPr>
            <w:r w:rsidRPr="00B66330">
              <w:rPr>
                <w:rFonts w:ascii="Arial" w:hAnsi="Arial" w:cs="Arial"/>
                <w:lang w:val="en-GB"/>
              </w:rPr>
              <w:t xml:space="preserve">The process of regularly and systematically collecting and </w:t>
            </w:r>
            <w:proofErr w:type="spellStart"/>
            <w:r w:rsidRPr="00B66330">
              <w:rPr>
                <w:rFonts w:ascii="Arial" w:hAnsi="Arial" w:cs="Arial"/>
                <w:lang w:val="en-GB"/>
              </w:rPr>
              <w:t>ana</w:t>
            </w:r>
            <w:proofErr w:type="spellEnd"/>
            <w:r w:rsidRPr="00B66330">
              <w:rPr>
                <w:rFonts w:ascii="Arial" w:hAnsi="Arial" w:cs="Arial"/>
              </w:rPr>
              <w:t>l</w:t>
            </w:r>
            <w:proofErr w:type="spellStart"/>
            <w:r w:rsidRPr="00B66330">
              <w:rPr>
                <w:rFonts w:ascii="Arial" w:hAnsi="Arial" w:cs="Arial"/>
                <w:lang w:val="en-GB"/>
              </w:rPr>
              <w:t>yzing</w:t>
            </w:r>
            <w:proofErr w:type="spellEnd"/>
            <w:r w:rsidRPr="00B66330">
              <w:rPr>
                <w:rFonts w:ascii="Arial" w:hAnsi="Arial" w:cs="Arial"/>
                <w:lang w:val="en-GB"/>
              </w:rPr>
              <w:t xml:space="preserve"> information about a project and, when appropriate, using it to make adjustments to the project. </w:t>
            </w:r>
            <w:r w:rsidRPr="00B66330">
              <w:rPr>
                <w:rFonts w:ascii="Arial" w:hAnsi="Arial" w:cs="Arial"/>
              </w:rPr>
              <w:t xml:space="preserve">Project monitoring data may be used to adjust project implementation, enable internal and external reporting, inform project design and advocacy, and promote accountability to beneficiaries. </w:t>
            </w:r>
          </w:p>
        </w:tc>
      </w:tr>
      <w:tr w:rsidR="0035086D" w:rsidRPr="00B66330" w:rsidTr="00237AE7">
        <w:trPr>
          <w:trHeight w:val="2313"/>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spacing w:after="160"/>
              <w:rPr>
                <w:rFonts w:ascii="Arial" w:hAnsi="Arial" w:cs="Arial"/>
                <w:color w:val="000000" w:themeColor="text1"/>
                <w:lang w:val="en-GB"/>
              </w:rPr>
            </w:pPr>
            <w:r w:rsidRPr="00B66330">
              <w:rPr>
                <w:rFonts w:ascii="Arial" w:hAnsi="Arial" w:cs="Arial"/>
                <w:color w:val="000000" w:themeColor="text1"/>
                <w:lang w:val="en-GB"/>
              </w:rPr>
              <w:t xml:space="preserve">Monitoring </w:t>
            </w:r>
            <w:proofErr w:type="spellStart"/>
            <w:r w:rsidRPr="00B66330">
              <w:rPr>
                <w:rFonts w:ascii="Arial" w:hAnsi="Arial" w:cs="Arial"/>
                <w:color w:val="000000" w:themeColor="text1"/>
                <w:lang w:val="en-GB"/>
              </w:rPr>
              <w:t>workplan</w:t>
            </w:r>
            <w:proofErr w:type="spellEnd"/>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 xml:space="preserve">A </w:t>
            </w:r>
            <w:proofErr w:type="spellStart"/>
            <w:r w:rsidRPr="00B66330">
              <w:rPr>
                <w:rFonts w:ascii="Arial" w:hAnsi="Arial" w:cs="Arial"/>
                <w:lang w:val="en-GB"/>
              </w:rPr>
              <w:t>workplan</w:t>
            </w:r>
            <w:proofErr w:type="spellEnd"/>
            <w:r w:rsidRPr="00B66330">
              <w:rPr>
                <w:rFonts w:ascii="Arial" w:hAnsi="Arial" w:cs="Arial"/>
                <w:lang w:val="en-GB"/>
              </w:rPr>
              <w:t xml:space="preserve"> that lists all monitoring related activities (including all data collection activities, as well as holding of analysis and action meetings, planned activities for verification of data, training of staff in use of data collection tools and data management, reporting, and end of project learning reviews) and describes who is responsible for the activity, when the activity will be conducted and with what frequency, and what tools will be used.  The monitoring </w:t>
            </w:r>
            <w:proofErr w:type="spellStart"/>
            <w:r w:rsidRPr="00B66330">
              <w:rPr>
                <w:rFonts w:ascii="Arial" w:hAnsi="Arial" w:cs="Arial"/>
                <w:lang w:val="en-GB"/>
              </w:rPr>
              <w:t>workplan</w:t>
            </w:r>
            <w:proofErr w:type="spellEnd"/>
            <w:r w:rsidRPr="00B66330">
              <w:rPr>
                <w:rFonts w:ascii="Arial" w:hAnsi="Arial" w:cs="Arial"/>
                <w:lang w:val="en-GB"/>
              </w:rPr>
              <w:t xml:space="preserve"> is a management tool used on an ongoing basis throughout the project lifecycle to ensure that project monitoring activities are conducted and/or that changes to planned monitoring activities are documented.   </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spacing w:after="160"/>
              <w:rPr>
                <w:rFonts w:ascii="Arial" w:hAnsi="Arial" w:cs="Arial"/>
                <w:color w:val="000000" w:themeColor="text1"/>
                <w:lang w:val="en-GB"/>
              </w:rPr>
            </w:pPr>
            <w:r w:rsidRPr="00B66330">
              <w:rPr>
                <w:rFonts w:ascii="Arial" w:hAnsi="Arial" w:cs="Arial"/>
                <w:color w:val="000000" w:themeColor="text1"/>
                <w:lang w:val="en-GB"/>
              </w:rPr>
              <w:t>Outcomes</w:t>
            </w:r>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The likely or achieved short -term and medium-term effects of</w:t>
            </w:r>
          </w:p>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B66330">
              <w:rPr>
                <w:rFonts w:ascii="Arial" w:hAnsi="Arial" w:cs="Arial"/>
                <w:lang w:val="en-GB"/>
              </w:rPr>
              <w:t xml:space="preserve">an intervention’s outputs; changes that contribute to the project’s overall objective or goal.   </w:t>
            </w:r>
          </w:p>
        </w:tc>
      </w:tr>
      <w:tr w:rsidR="0035086D" w:rsidRPr="00B66330" w:rsidTr="00237AE7">
        <w:trPr>
          <w:trHeight w:val="964"/>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spacing w:after="160"/>
              <w:rPr>
                <w:rFonts w:ascii="Arial" w:hAnsi="Arial" w:cs="Arial"/>
                <w:color w:val="000000" w:themeColor="text1"/>
                <w:lang w:val="en-GB"/>
              </w:rPr>
            </w:pPr>
            <w:r w:rsidRPr="00B66330">
              <w:rPr>
                <w:rFonts w:ascii="Arial" w:hAnsi="Arial" w:cs="Arial"/>
                <w:color w:val="000000" w:themeColor="text1"/>
                <w:lang w:val="en-GB"/>
              </w:rPr>
              <w:t>M&amp;E plan</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rPr>
            </w:pPr>
            <w:r w:rsidRPr="00B66330">
              <w:rPr>
                <w:rFonts w:ascii="Arial" w:hAnsi="Arial" w:cs="Arial"/>
              </w:rPr>
              <w:t xml:space="preserve">A document that serves as a planning tool and reference for project staff </w:t>
            </w:r>
            <w:r w:rsidRPr="00B66330">
              <w:rPr>
                <w:rFonts w:ascii="Arial" w:hAnsi="Arial" w:cs="Arial"/>
                <w:bCs/>
              </w:rPr>
              <w:t xml:space="preserve">for how to go about monitoring for action throughout the life of their project.     </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964"/>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rPr>
                <w:rFonts w:ascii="Arial" w:hAnsi="Arial" w:cs="Arial"/>
                <w:color w:val="000000" w:themeColor="text1"/>
                <w:lang w:val="en-GB"/>
              </w:rPr>
            </w:pPr>
            <w:r w:rsidRPr="00B66330">
              <w:rPr>
                <w:rFonts w:ascii="Arial" w:hAnsi="Arial" w:cs="Arial"/>
                <w:color w:val="000000" w:themeColor="text1"/>
                <w:lang w:val="en-GB"/>
              </w:rPr>
              <w:t>Needs assessment</w:t>
            </w:r>
          </w:p>
        </w:tc>
        <w:tc>
          <w:tcPr>
            <w:tcW w:w="7491" w:type="dxa"/>
            <w:shd w:val="clear" w:color="auto" w:fill="FFFFFF" w:themeFill="background1"/>
            <w:vAlign w:val="center"/>
          </w:tcPr>
          <w:p w:rsidR="0035086D" w:rsidRPr="00B66330" w:rsidRDefault="0035086D" w:rsidP="00237AE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B66330">
              <w:rPr>
                <w:rFonts w:ascii="Arial" w:hAnsi="Arial" w:cs="Arial"/>
              </w:rPr>
              <w:t>A needs and resource assessment is always carried out before the program is designed, and the purpose is to inform the program strategy. In contrast, a baseline assessment takes place usually at start up. This is critical because without information on the circumstances before, there is no basis for comparison after the program has been implemented. The needs and resources assessment is a pillar of program design. Gathering baseline data is a pillar of effective monitoring and evaluation.</w:t>
            </w:r>
          </w:p>
        </w:tc>
      </w:tr>
      <w:tr w:rsidR="0035086D" w:rsidRPr="00B66330" w:rsidTr="00237AE7">
        <w:trPr>
          <w:trHeight w:val="1415"/>
        </w:trPr>
        <w:tc>
          <w:tcPr>
            <w:cnfStyle w:val="001000000000" w:firstRow="0" w:lastRow="0" w:firstColumn="1" w:lastColumn="0" w:oddVBand="0" w:evenVBand="0" w:oddHBand="0" w:evenHBand="0" w:firstRowFirstColumn="0" w:firstRowLastColumn="0" w:lastRowFirstColumn="0" w:lastRowLastColumn="0"/>
            <w:tcW w:w="1943" w:type="dxa"/>
            <w:vAlign w:val="center"/>
          </w:tcPr>
          <w:p w:rsidR="0035086D" w:rsidRPr="00B66330" w:rsidRDefault="0035086D" w:rsidP="00237AE7">
            <w:pPr>
              <w:tabs>
                <w:tab w:val="left" w:pos="1139"/>
              </w:tabs>
              <w:spacing w:after="160"/>
              <w:rPr>
                <w:rFonts w:ascii="Arial" w:hAnsi="Arial" w:cs="Arial"/>
                <w:color w:val="000000" w:themeColor="text1"/>
                <w:lang w:val="en-GB"/>
              </w:rPr>
            </w:pPr>
            <w:r w:rsidRPr="00B66330">
              <w:rPr>
                <w:rFonts w:ascii="Arial" w:hAnsi="Arial" w:cs="Arial"/>
                <w:color w:val="000000" w:themeColor="text1"/>
                <w:lang w:val="en-GB"/>
              </w:rPr>
              <w:lastRenderedPageBreak/>
              <w:t>Target</w:t>
            </w:r>
          </w:p>
        </w:tc>
        <w:tc>
          <w:tcPr>
            <w:tcW w:w="7491" w:type="dxa"/>
            <w:vAlign w:val="center"/>
          </w:tcPr>
          <w:p w:rsidR="0035086D" w:rsidRPr="00B66330" w:rsidRDefault="0035086D" w:rsidP="00237AE7">
            <w:pPr>
              <w:spacing w:after="160"/>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B66330">
              <w:rPr>
                <w:rFonts w:ascii="Arial" w:hAnsi="Arial" w:cs="Arial"/>
                <w:lang w:val="en-GB"/>
              </w:rPr>
              <w:t>S</w:t>
            </w:r>
            <w:proofErr w:type="spellStart"/>
            <w:r w:rsidRPr="00B66330">
              <w:rPr>
                <w:rFonts w:ascii="Arial" w:hAnsi="Arial" w:cs="Arial"/>
              </w:rPr>
              <w:t>pecify</w:t>
            </w:r>
            <w:proofErr w:type="spellEnd"/>
            <w:r w:rsidRPr="00B66330">
              <w:rPr>
                <w:rFonts w:ascii="Arial" w:hAnsi="Arial" w:cs="Arial"/>
              </w:rPr>
              <w:t xml:space="preserve"> desired results within a given timeframe or a given quantity. There is a target associated with every indicator</w:t>
            </w:r>
            <w:r w:rsidRPr="00B66330">
              <w:rPr>
                <w:rStyle w:val="FootnoteReference"/>
                <w:rFonts w:ascii="Arial" w:hAnsi="Arial" w:cs="Arial"/>
              </w:rPr>
              <w:footnoteReference w:id="5"/>
            </w:r>
            <w:r w:rsidRPr="00B66330">
              <w:rPr>
                <w:rFonts w:ascii="Arial" w:hAnsi="Arial" w:cs="Arial"/>
              </w:rPr>
              <w:t>. Targets can be based on the organization’s past experience, expert knowledge, donor requirements or information from the baseline assessment.</w:t>
            </w:r>
          </w:p>
        </w:tc>
      </w:tr>
      <w:tr w:rsidR="0035086D" w:rsidRPr="00B66330" w:rsidTr="00B66330">
        <w:trPr>
          <w:cnfStyle w:val="000000100000" w:firstRow="0" w:lastRow="0" w:firstColumn="0" w:lastColumn="0" w:oddVBand="0" w:evenVBand="0" w:oddHBand="1" w:evenHBand="0" w:firstRowFirstColumn="0" w:firstRowLastColumn="0" w:lastRowFirstColumn="0" w:lastRowLastColumn="0"/>
          <w:trHeight w:val="1415"/>
        </w:trPr>
        <w:tc>
          <w:tcPr>
            <w:cnfStyle w:val="001000000000" w:firstRow="0" w:lastRow="0" w:firstColumn="1" w:lastColumn="0" w:oddVBand="0" w:evenVBand="0" w:oddHBand="0" w:evenHBand="0" w:firstRowFirstColumn="0" w:firstRowLastColumn="0" w:lastRowFirstColumn="0" w:lastRowLastColumn="0"/>
            <w:tcW w:w="1943" w:type="dxa"/>
            <w:shd w:val="clear" w:color="auto" w:fill="FFFFFF" w:themeFill="background1"/>
            <w:vAlign w:val="center"/>
          </w:tcPr>
          <w:p w:rsidR="0035086D" w:rsidRPr="00B66330" w:rsidRDefault="0035086D" w:rsidP="00237AE7">
            <w:pPr>
              <w:tabs>
                <w:tab w:val="left" w:pos="1139"/>
              </w:tabs>
              <w:spacing w:after="160"/>
              <w:rPr>
                <w:rFonts w:ascii="Arial" w:hAnsi="Arial" w:cs="Arial"/>
                <w:color w:val="000000" w:themeColor="text1"/>
                <w:lang w:val="en-GB"/>
              </w:rPr>
            </w:pPr>
            <w:r w:rsidRPr="00B66330">
              <w:rPr>
                <w:rFonts w:ascii="Arial" w:hAnsi="Arial" w:cs="Arial"/>
                <w:color w:val="000000" w:themeColor="text1"/>
                <w:lang w:val="en-GB"/>
              </w:rPr>
              <w:t>Theory of change</w:t>
            </w:r>
          </w:p>
        </w:tc>
        <w:tc>
          <w:tcPr>
            <w:tcW w:w="7491" w:type="dxa"/>
            <w:shd w:val="clear" w:color="auto" w:fill="FFFFFF" w:themeFill="background1"/>
            <w:vAlign w:val="center"/>
          </w:tcPr>
          <w:p w:rsidR="0035086D" w:rsidRPr="00B66330" w:rsidRDefault="0035086D" w:rsidP="00237AE7">
            <w:pPr>
              <w:spacing w:after="160"/>
              <w:cnfStyle w:val="000000100000" w:firstRow="0" w:lastRow="0" w:firstColumn="0" w:lastColumn="0" w:oddVBand="0" w:evenVBand="0" w:oddHBand="1" w:evenHBand="0" w:firstRowFirstColumn="0" w:firstRowLastColumn="0" w:lastRowFirstColumn="0" w:lastRowLastColumn="0"/>
              <w:rPr>
                <w:rFonts w:ascii="Arial" w:hAnsi="Arial" w:cs="Arial"/>
                <w:color w:val="1F497D"/>
              </w:rPr>
            </w:pPr>
            <w:r w:rsidRPr="00B66330">
              <w:rPr>
                <w:rFonts w:ascii="Arial" w:hAnsi="Arial" w:cs="Arial"/>
                <w:lang w:val="en-GB"/>
              </w:rPr>
              <w:t xml:space="preserve">Defines all building blocks required to bring about a given long-term goal. These blocks are depicted on a map known as a pathway of change/change framework, which is a graphic representation of the change process.  The </w:t>
            </w:r>
            <w:r w:rsidRPr="00B66330">
              <w:rPr>
                <w:rFonts w:ascii="Arial" w:hAnsi="Arial" w:cs="Arial"/>
              </w:rPr>
              <w:t xml:space="preserve">logic depicted in a theory of change should be possible to articulate using “if” “then” statements.  </w:t>
            </w:r>
          </w:p>
        </w:tc>
      </w:tr>
    </w:tbl>
    <w:p w:rsidR="0035086D" w:rsidRPr="00B66330" w:rsidRDefault="0035086D" w:rsidP="00A45B17">
      <w:pPr>
        <w:spacing w:line="240" w:lineRule="auto"/>
        <w:jc w:val="both"/>
        <w:rPr>
          <w:rFonts w:ascii="Arial" w:hAnsi="Arial" w:cs="Arial"/>
        </w:rPr>
      </w:pPr>
    </w:p>
    <w:p w:rsidR="0035086D" w:rsidRPr="00B66330" w:rsidRDefault="0035086D" w:rsidP="00A45B17">
      <w:pPr>
        <w:spacing w:line="240" w:lineRule="auto"/>
        <w:jc w:val="both"/>
        <w:rPr>
          <w:rFonts w:ascii="Arial" w:hAnsi="Arial" w:cs="Arial"/>
          <w:b/>
          <w:sz w:val="32"/>
          <w:szCs w:val="32"/>
        </w:rPr>
      </w:pPr>
      <w:r w:rsidRPr="00B66330">
        <w:rPr>
          <w:rFonts w:ascii="Arial" w:hAnsi="Arial" w:cs="Arial"/>
          <w:b/>
          <w:sz w:val="32"/>
          <w:szCs w:val="32"/>
        </w:rPr>
        <w:t>M&amp;E References</w:t>
      </w:r>
    </w:p>
    <w:p w:rsidR="00A45B17" w:rsidRPr="00B66330" w:rsidRDefault="00A45B17" w:rsidP="00A45B17">
      <w:pPr>
        <w:spacing w:line="240" w:lineRule="auto"/>
        <w:jc w:val="both"/>
        <w:rPr>
          <w:rFonts w:ascii="Arial" w:hAnsi="Arial" w:cs="Arial"/>
        </w:rPr>
      </w:pPr>
      <w:r w:rsidRPr="00B66330">
        <w:rPr>
          <w:rFonts w:ascii="Arial" w:hAnsi="Arial" w:cs="Arial"/>
        </w:rPr>
        <w:t xml:space="preserve">For more background on M&amp;E and additional support to use M&amp;E for child protection and education programming, the following resources are recommended: </w:t>
      </w:r>
    </w:p>
    <w:p w:rsidR="00374A3F" w:rsidRPr="00B66330" w:rsidRDefault="00374A3F" w:rsidP="00374A3F">
      <w:pPr>
        <w:pStyle w:val="ListParagraph"/>
        <w:numPr>
          <w:ilvl w:val="0"/>
          <w:numId w:val="1"/>
        </w:numPr>
        <w:spacing w:after="160"/>
        <w:contextualSpacing/>
        <w:jc w:val="both"/>
        <w:rPr>
          <w:rFonts w:ascii="Arial" w:hAnsi="Arial" w:cs="Arial"/>
        </w:rPr>
      </w:pPr>
      <w:r w:rsidRPr="00B66330">
        <w:rPr>
          <w:rFonts w:ascii="Arial" w:hAnsi="Arial" w:cs="Arial"/>
          <w:b/>
        </w:rPr>
        <w:t>Sector Toolkits for Emergency Programs (STEP):</w:t>
      </w:r>
      <w:r w:rsidRPr="00B66330">
        <w:rPr>
          <w:rFonts w:ascii="Arial" w:hAnsi="Arial" w:cs="Arial"/>
        </w:rPr>
        <w:t xml:space="preserve"> These IRC toolkits are designed to support projects that are likely to be implemented in emergency settings. STEP materials include templates for assessments, proposal development, staff, scale, and budget, human resources trainings, monitoring and tracking, evidence review, and reference materials. STEP projects are meant for the acute emergency phase (3 weeks to 3 months). </w:t>
      </w:r>
    </w:p>
    <w:p w:rsidR="00374A3F" w:rsidRPr="00B66330" w:rsidRDefault="00374A3F" w:rsidP="00374A3F">
      <w:pPr>
        <w:pStyle w:val="ListParagraph"/>
        <w:spacing w:after="160"/>
        <w:contextualSpacing/>
        <w:jc w:val="both"/>
        <w:rPr>
          <w:rFonts w:ascii="Arial" w:hAnsi="Arial" w:cs="Arial"/>
        </w:rPr>
      </w:pPr>
    </w:p>
    <w:p w:rsidR="00374A3F" w:rsidRPr="00B66330" w:rsidRDefault="00374A3F" w:rsidP="00374A3F">
      <w:pPr>
        <w:pStyle w:val="ListParagraph"/>
        <w:numPr>
          <w:ilvl w:val="0"/>
          <w:numId w:val="1"/>
        </w:numPr>
        <w:spacing w:after="160"/>
        <w:contextualSpacing/>
        <w:rPr>
          <w:rFonts w:ascii="Arial" w:hAnsi="Arial" w:cs="Arial"/>
        </w:rPr>
      </w:pPr>
      <w:r w:rsidRPr="00B66330">
        <w:rPr>
          <w:rFonts w:ascii="Arial" w:hAnsi="Arial" w:cs="Arial"/>
          <w:b/>
        </w:rPr>
        <w:t>Monitoring for Action (</w:t>
      </w:r>
      <w:proofErr w:type="spellStart"/>
      <w:r w:rsidRPr="00B66330">
        <w:rPr>
          <w:rFonts w:ascii="Arial" w:hAnsi="Arial" w:cs="Arial"/>
          <w:b/>
        </w:rPr>
        <w:t>MfA</w:t>
      </w:r>
      <w:proofErr w:type="spellEnd"/>
      <w:r w:rsidRPr="00B66330">
        <w:rPr>
          <w:rFonts w:ascii="Arial" w:hAnsi="Arial" w:cs="Arial"/>
          <w:b/>
        </w:rPr>
        <w:t>) toolkit:</w:t>
      </w:r>
      <w:r w:rsidRPr="00B66330">
        <w:rPr>
          <w:rFonts w:ascii="Arial" w:hAnsi="Arial" w:cs="Arial"/>
        </w:rPr>
        <w:t xml:space="preserve"> As part of IRC’s 2015-2020 Strategic Plan, this multi-year initiative aims to improve project monitoring, enabling IRC country programs to be better-informed and more responsive and ultimately have more impact. Resources include tools to support </w:t>
      </w:r>
      <w:proofErr w:type="spellStart"/>
      <w:r w:rsidRPr="00B66330">
        <w:rPr>
          <w:rFonts w:ascii="Arial" w:hAnsi="Arial" w:cs="Arial"/>
        </w:rPr>
        <w:t>MfA</w:t>
      </w:r>
      <w:proofErr w:type="spellEnd"/>
      <w:r w:rsidRPr="00B66330">
        <w:rPr>
          <w:rFonts w:ascii="Arial" w:hAnsi="Arial" w:cs="Arial"/>
        </w:rPr>
        <w:t xml:space="preserve"> during project design and proposal development, project start-up, project implementation, and grant end/project close. Available at: </w:t>
      </w:r>
      <w:hyperlink r:id="rId7" w:history="1">
        <w:r w:rsidRPr="00B66330">
          <w:rPr>
            <w:rStyle w:val="Hyperlink"/>
            <w:rFonts w:ascii="Arial" w:hAnsi="Arial" w:cs="Arial"/>
          </w:rPr>
          <w:t>https://rescue.app.box.com/v/MfAToolkit</w:t>
        </w:r>
      </w:hyperlink>
      <w:r w:rsidRPr="00B66330">
        <w:rPr>
          <w:rFonts w:ascii="Arial" w:hAnsi="Arial" w:cs="Arial"/>
        </w:rPr>
        <w:t xml:space="preserve"> </w:t>
      </w:r>
    </w:p>
    <w:p w:rsidR="00374A3F" w:rsidRPr="00B66330" w:rsidRDefault="00374A3F" w:rsidP="00374A3F">
      <w:pPr>
        <w:pStyle w:val="ListParagraph"/>
        <w:spacing w:after="160"/>
        <w:contextualSpacing/>
        <w:jc w:val="both"/>
        <w:rPr>
          <w:rFonts w:ascii="Arial" w:hAnsi="Arial" w:cs="Arial"/>
        </w:rPr>
      </w:pPr>
    </w:p>
    <w:p w:rsidR="00A45B17" w:rsidRPr="00B66330" w:rsidRDefault="00A45B17" w:rsidP="00A45B17">
      <w:pPr>
        <w:pStyle w:val="ListParagraph"/>
        <w:numPr>
          <w:ilvl w:val="0"/>
          <w:numId w:val="1"/>
        </w:numPr>
        <w:spacing w:after="160"/>
        <w:contextualSpacing/>
        <w:jc w:val="both"/>
        <w:rPr>
          <w:rFonts w:ascii="Arial" w:hAnsi="Arial" w:cs="Arial"/>
        </w:rPr>
      </w:pPr>
      <w:r w:rsidRPr="00B66330">
        <w:rPr>
          <w:rFonts w:ascii="Arial" w:hAnsi="Arial" w:cs="Arial"/>
          <w:b/>
        </w:rPr>
        <w:t xml:space="preserve">IRC Guide to Design, Monitoring, and Evaluation: </w:t>
      </w:r>
      <w:r w:rsidRPr="00B66330">
        <w:rPr>
          <w:rFonts w:ascii="Arial" w:hAnsi="Arial" w:cs="Arial"/>
        </w:rPr>
        <w:t xml:space="preserve">Available at </w:t>
      </w:r>
    </w:p>
    <w:p w:rsidR="00A45B17" w:rsidRPr="00B66330" w:rsidRDefault="00FC5B58" w:rsidP="00A45B17">
      <w:pPr>
        <w:pStyle w:val="ListParagraph"/>
        <w:spacing w:after="160"/>
        <w:contextualSpacing/>
        <w:jc w:val="both"/>
        <w:rPr>
          <w:rFonts w:ascii="Arial" w:hAnsi="Arial" w:cs="Arial"/>
        </w:rPr>
      </w:pPr>
      <w:hyperlink r:id="rId8" w:history="1">
        <w:r w:rsidR="00A45B17" w:rsidRPr="00B66330">
          <w:rPr>
            <w:rStyle w:val="Hyperlink"/>
            <w:rFonts w:ascii="Arial" w:hAnsi="Arial" w:cs="Arial"/>
          </w:rPr>
          <w:t>http://healingclassrooms.org/downloads/IRC_Guide_Design_Monitoring_Evaluation.pdf</w:t>
        </w:r>
      </w:hyperlink>
      <w:r w:rsidR="00A45B17" w:rsidRPr="00B66330">
        <w:rPr>
          <w:rFonts w:ascii="Arial" w:hAnsi="Arial" w:cs="Arial"/>
        </w:rPr>
        <w:t xml:space="preserve">. </w:t>
      </w:r>
    </w:p>
    <w:p w:rsidR="00374A3F" w:rsidRPr="00B66330" w:rsidRDefault="00374A3F" w:rsidP="00374A3F">
      <w:pPr>
        <w:pStyle w:val="ListParagraph"/>
        <w:spacing w:after="160"/>
        <w:contextualSpacing/>
        <w:jc w:val="both"/>
        <w:rPr>
          <w:rFonts w:ascii="Arial" w:hAnsi="Arial" w:cs="Arial"/>
        </w:rPr>
      </w:pPr>
    </w:p>
    <w:p w:rsidR="00A45B17" w:rsidRPr="00B66330" w:rsidRDefault="00A45B17" w:rsidP="00A45B17">
      <w:pPr>
        <w:pStyle w:val="ListParagraph"/>
        <w:numPr>
          <w:ilvl w:val="0"/>
          <w:numId w:val="1"/>
        </w:numPr>
        <w:spacing w:after="160"/>
        <w:contextualSpacing/>
        <w:jc w:val="both"/>
        <w:rPr>
          <w:rFonts w:ascii="Arial" w:hAnsi="Arial" w:cs="Arial"/>
        </w:rPr>
      </w:pPr>
      <w:r w:rsidRPr="00B66330">
        <w:rPr>
          <w:rFonts w:ascii="Arial" w:hAnsi="Arial" w:cs="Arial"/>
          <w:b/>
        </w:rPr>
        <w:t>Designing for Results: Integrating Monitoring and Evaluation in Conflict Transformation Activities:</w:t>
      </w:r>
      <w:r w:rsidRPr="00B66330">
        <w:rPr>
          <w:rFonts w:ascii="Arial" w:hAnsi="Arial" w:cs="Arial"/>
        </w:rPr>
        <w:t xml:space="preserve"> This Search for Common Ground document outlines common M&amp;E terminology and useful background information. Available at </w:t>
      </w:r>
      <w:hyperlink r:id="rId9" w:history="1">
        <w:r w:rsidRPr="00B66330">
          <w:rPr>
            <w:rStyle w:val="Hyperlink"/>
            <w:rFonts w:ascii="Arial" w:hAnsi="Arial" w:cs="Arial"/>
          </w:rPr>
          <w:t>http://dmeforpeace.org/learn/designing-results-integrating-monitoring-and-evaluation-conflict-transformation-activities</w:t>
        </w:r>
      </w:hyperlink>
      <w:r w:rsidRPr="00B66330">
        <w:rPr>
          <w:rFonts w:ascii="Arial" w:hAnsi="Arial" w:cs="Arial"/>
        </w:rPr>
        <w:t xml:space="preserve">. </w:t>
      </w:r>
    </w:p>
    <w:p w:rsidR="00374A3F" w:rsidRPr="00B66330" w:rsidRDefault="00374A3F" w:rsidP="00374A3F">
      <w:pPr>
        <w:pStyle w:val="ListParagraph"/>
        <w:spacing w:after="160"/>
        <w:contextualSpacing/>
        <w:jc w:val="both"/>
        <w:rPr>
          <w:rFonts w:ascii="Arial" w:hAnsi="Arial" w:cs="Arial"/>
        </w:rPr>
      </w:pPr>
    </w:p>
    <w:p w:rsidR="00A45B17" w:rsidRPr="00B66330" w:rsidRDefault="00A45B17" w:rsidP="00A45B17">
      <w:pPr>
        <w:pStyle w:val="ListParagraph"/>
        <w:numPr>
          <w:ilvl w:val="0"/>
          <w:numId w:val="1"/>
        </w:numPr>
        <w:spacing w:after="160"/>
        <w:contextualSpacing/>
        <w:jc w:val="both"/>
        <w:rPr>
          <w:rFonts w:ascii="Arial" w:hAnsi="Arial" w:cs="Arial"/>
        </w:rPr>
      </w:pPr>
      <w:r w:rsidRPr="00B66330">
        <w:rPr>
          <w:rFonts w:ascii="Arial" w:hAnsi="Arial" w:cs="Arial"/>
          <w:b/>
        </w:rPr>
        <w:t>Save the Children Evaluation Handbook:</w:t>
      </w:r>
      <w:r w:rsidRPr="00B66330">
        <w:rPr>
          <w:rFonts w:ascii="Arial" w:hAnsi="Arial" w:cs="Arial"/>
        </w:rPr>
        <w:t xml:space="preserve"> This Save the Children document includes useful evaluation reference information. Available at </w:t>
      </w:r>
    </w:p>
    <w:p w:rsidR="00A45B17" w:rsidRPr="00B66330" w:rsidRDefault="00FC5B58" w:rsidP="00A45B17">
      <w:pPr>
        <w:pStyle w:val="ListParagraph"/>
        <w:spacing w:after="160"/>
        <w:contextualSpacing/>
        <w:jc w:val="both"/>
        <w:rPr>
          <w:rFonts w:ascii="Arial" w:hAnsi="Arial" w:cs="Arial"/>
        </w:rPr>
      </w:pPr>
      <w:hyperlink r:id="rId10" w:history="1">
        <w:r w:rsidR="00A45B17" w:rsidRPr="00B66330">
          <w:rPr>
            <w:rStyle w:val="Hyperlink"/>
            <w:rFonts w:ascii="Arial" w:hAnsi="Arial" w:cs="Arial"/>
          </w:rPr>
          <w:t>http://resourcecentre.savethechildren.se/sites/default/files/documents/5459.pdf</w:t>
        </w:r>
      </w:hyperlink>
      <w:r w:rsidR="00A45B17" w:rsidRPr="00B66330">
        <w:rPr>
          <w:rFonts w:ascii="Arial" w:hAnsi="Arial" w:cs="Arial"/>
        </w:rPr>
        <w:t xml:space="preserve">. </w:t>
      </w:r>
    </w:p>
    <w:p w:rsidR="00374A3F" w:rsidRPr="00B66330" w:rsidRDefault="00A45B17" w:rsidP="00374A3F">
      <w:pPr>
        <w:pStyle w:val="FootnoteText"/>
        <w:numPr>
          <w:ilvl w:val="0"/>
          <w:numId w:val="1"/>
        </w:numPr>
        <w:spacing w:before="0" w:after="0"/>
        <w:jc w:val="left"/>
        <w:rPr>
          <w:rFonts w:cs="Arial"/>
        </w:rPr>
      </w:pPr>
      <w:r w:rsidRPr="00B66330">
        <w:rPr>
          <w:rFonts w:cs="Arial"/>
          <w:b/>
        </w:rPr>
        <w:t>Child Protection Working Group Minimum Standards for Child Protection in Emergencies</w:t>
      </w:r>
      <w:r w:rsidR="00374A3F" w:rsidRPr="00B66330">
        <w:rPr>
          <w:rFonts w:cs="Arial"/>
          <w:b/>
        </w:rPr>
        <w:t xml:space="preserve">. </w:t>
      </w:r>
      <w:r w:rsidR="00374A3F" w:rsidRPr="00B66330">
        <w:rPr>
          <w:rFonts w:cs="Arial"/>
        </w:rPr>
        <w:t xml:space="preserve">Available at: </w:t>
      </w:r>
      <w:hyperlink r:id="rId11" w:history="1">
        <w:r w:rsidR="00374A3F" w:rsidRPr="00B66330">
          <w:rPr>
            <w:rStyle w:val="Hyperlink"/>
            <w:rFonts w:cs="Arial"/>
          </w:rPr>
          <w:t>http://cpwg.net/minimum-standards/</w:t>
        </w:r>
      </w:hyperlink>
      <w:r w:rsidR="00374A3F" w:rsidRPr="00B66330">
        <w:rPr>
          <w:rFonts w:cs="Arial"/>
        </w:rPr>
        <w:t xml:space="preserve"> </w:t>
      </w:r>
    </w:p>
    <w:p w:rsidR="00A45B17" w:rsidRPr="00B66330" w:rsidRDefault="00A45B17" w:rsidP="00374A3F">
      <w:pPr>
        <w:pStyle w:val="ListParagraph"/>
        <w:spacing w:after="160"/>
        <w:contextualSpacing/>
        <w:jc w:val="both"/>
        <w:rPr>
          <w:rFonts w:ascii="Arial" w:hAnsi="Arial" w:cs="Arial"/>
          <w:b/>
        </w:rPr>
      </w:pPr>
    </w:p>
    <w:p w:rsidR="00A45B17" w:rsidRPr="00B66330" w:rsidRDefault="00A45B17" w:rsidP="00A45B17">
      <w:pPr>
        <w:pStyle w:val="ListParagraph"/>
        <w:numPr>
          <w:ilvl w:val="0"/>
          <w:numId w:val="1"/>
        </w:numPr>
        <w:spacing w:after="160"/>
        <w:contextualSpacing/>
        <w:jc w:val="both"/>
        <w:rPr>
          <w:rFonts w:ascii="Arial" w:hAnsi="Arial" w:cs="Arial"/>
        </w:rPr>
      </w:pPr>
      <w:r w:rsidRPr="00B66330">
        <w:rPr>
          <w:rFonts w:ascii="Arial" w:hAnsi="Arial" w:cs="Arial"/>
          <w:b/>
        </w:rPr>
        <w:lastRenderedPageBreak/>
        <w:t>INEE Minimum Standards for Education:</w:t>
      </w:r>
      <w:r w:rsidRPr="00B66330">
        <w:rPr>
          <w:rFonts w:ascii="Arial" w:hAnsi="Arial" w:cs="Arial"/>
        </w:rPr>
        <w:t xml:space="preserve"> See particularly Analysis Standard 2: Response Strategies; Analysis Standard 3: Monitoring; and Analysis Standard 4: Evaluation. INEE also compiles relevant tools at:</w:t>
      </w:r>
    </w:p>
    <w:p w:rsidR="00A45B17" w:rsidRPr="00B66330" w:rsidRDefault="00FC5B58" w:rsidP="00A45B17">
      <w:pPr>
        <w:pStyle w:val="ListParagraph"/>
        <w:spacing w:after="160"/>
        <w:contextualSpacing/>
        <w:jc w:val="both"/>
        <w:rPr>
          <w:rFonts w:ascii="Arial" w:hAnsi="Arial" w:cs="Arial"/>
        </w:rPr>
      </w:pPr>
      <w:hyperlink r:id="rId12" w:history="1">
        <w:r w:rsidR="00A45B17" w:rsidRPr="00B66330">
          <w:rPr>
            <w:rStyle w:val="Hyperlink"/>
            <w:rFonts w:ascii="Arial" w:hAnsi="Arial" w:cs="Arial"/>
          </w:rPr>
          <w:t>http://toolkit.ineesite.org/inee_minimum_standards/implementation_tools</w:t>
        </w:r>
      </w:hyperlink>
      <w:r w:rsidR="00A45B17" w:rsidRPr="00B66330">
        <w:rPr>
          <w:rFonts w:ascii="Arial" w:hAnsi="Arial" w:cs="Arial"/>
        </w:rPr>
        <w:t xml:space="preserve">. </w:t>
      </w:r>
    </w:p>
    <w:p w:rsidR="00374A3F" w:rsidRPr="00B66330" w:rsidRDefault="00374A3F" w:rsidP="00374A3F">
      <w:pPr>
        <w:pStyle w:val="ListParagraph"/>
        <w:spacing w:after="160"/>
        <w:contextualSpacing/>
        <w:jc w:val="both"/>
        <w:rPr>
          <w:rFonts w:ascii="Arial" w:hAnsi="Arial" w:cs="Arial"/>
          <w:b/>
        </w:rPr>
      </w:pPr>
    </w:p>
    <w:p w:rsidR="00A45B17" w:rsidRPr="00B66330" w:rsidRDefault="00A45B17" w:rsidP="00A45B17">
      <w:pPr>
        <w:pStyle w:val="ListParagraph"/>
        <w:numPr>
          <w:ilvl w:val="0"/>
          <w:numId w:val="1"/>
        </w:numPr>
        <w:spacing w:after="160"/>
        <w:contextualSpacing/>
        <w:jc w:val="both"/>
        <w:rPr>
          <w:rFonts w:ascii="Arial" w:hAnsi="Arial" w:cs="Arial"/>
          <w:b/>
        </w:rPr>
      </w:pPr>
      <w:r w:rsidRPr="00B66330">
        <w:rPr>
          <w:rFonts w:ascii="Arial" w:hAnsi="Arial" w:cs="Arial"/>
          <w:b/>
        </w:rPr>
        <w:t>Education Cluster KM and IM resources:</w:t>
      </w:r>
      <w:r w:rsidRPr="00B66330">
        <w:rPr>
          <w:rFonts w:ascii="Arial" w:hAnsi="Arial" w:cs="Arial"/>
        </w:rPr>
        <w:t xml:space="preserve"> Available at</w:t>
      </w:r>
    </w:p>
    <w:p w:rsidR="00A45B17" w:rsidRPr="00B66330" w:rsidRDefault="00FC5B58" w:rsidP="00A45B17">
      <w:pPr>
        <w:pStyle w:val="ListParagraph"/>
        <w:spacing w:after="160"/>
        <w:contextualSpacing/>
        <w:jc w:val="both"/>
        <w:rPr>
          <w:rFonts w:ascii="Arial" w:hAnsi="Arial" w:cs="Arial"/>
        </w:rPr>
      </w:pPr>
      <w:hyperlink r:id="rId13" w:history="1">
        <w:r w:rsidR="00A45B17" w:rsidRPr="00B66330">
          <w:rPr>
            <w:rStyle w:val="Hyperlink"/>
            <w:rFonts w:ascii="Arial" w:hAnsi="Arial" w:cs="Arial"/>
          </w:rPr>
          <w:t>http://educationcluster.net/topics-lp/information-and-knowledge-management/</w:t>
        </w:r>
      </w:hyperlink>
      <w:r w:rsidR="00A45B17" w:rsidRPr="00B66330">
        <w:rPr>
          <w:rFonts w:ascii="Arial" w:hAnsi="Arial" w:cs="Arial"/>
        </w:rPr>
        <w:t xml:space="preserve">. </w:t>
      </w:r>
    </w:p>
    <w:p w:rsidR="00374A3F" w:rsidRPr="00B66330" w:rsidRDefault="00374A3F" w:rsidP="00374A3F">
      <w:pPr>
        <w:contextualSpacing/>
        <w:jc w:val="both"/>
        <w:rPr>
          <w:rFonts w:ascii="Arial" w:hAnsi="Arial" w:cs="Arial"/>
          <w:b/>
        </w:rPr>
      </w:pPr>
    </w:p>
    <w:p w:rsidR="00374A3F" w:rsidRPr="00B66330" w:rsidRDefault="00374A3F">
      <w:pPr>
        <w:rPr>
          <w:rFonts w:ascii="Arial" w:hAnsi="Arial" w:cs="Arial"/>
          <w:b/>
        </w:rPr>
      </w:pPr>
    </w:p>
    <w:p w:rsidR="00EF76CA" w:rsidRPr="00B66330" w:rsidRDefault="00EF76CA">
      <w:pPr>
        <w:rPr>
          <w:rFonts w:ascii="Arial" w:hAnsi="Arial" w:cs="Arial"/>
          <w:b/>
        </w:rPr>
      </w:pPr>
    </w:p>
    <w:p w:rsidR="00EF76CA" w:rsidRPr="00B66330" w:rsidRDefault="00EF76CA">
      <w:pPr>
        <w:rPr>
          <w:rFonts w:ascii="Arial" w:hAnsi="Arial" w:cs="Arial"/>
        </w:rPr>
      </w:pPr>
    </w:p>
    <w:sectPr w:rsidR="00EF76CA" w:rsidRPr="00B663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B58" w:rsidRDefault="00FC5B58" w:rsidP="00EF76CA">
      <w:pPr>
        <w:spacing w:after="0" w:line="240" w:lineRule="auto"/>
      </w:pPr>
      <w:r>
        <w:separator/>
      </w:r>
    </w:p>
  </w:endnote>
  <w:endnote w:type="continuationSeparator" w:id="0">
    <w:p w:rsidR="00FC5B58" w:rsidRDefault="00FC5B58" w:rsidP="00E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B58" w:rsidRDefault="00FC5B58" w:rsidP="00EF76CA">
      <w:pPr>
        <w:spacing w:after="0" w:line="240" w:lineRule="auto"/>
      </w:pPr>
      <w:r>
        <w:separator/>
      </w:r>
    </w:p>
  </w:footnote>
  <w:footnote w:type="continuationSeparator" w:id="0">
    <w:p w:rsidR="00FC5B58" w:rsidRDefault="00FC5B58" w:rsidP="00EF76CA">
      <w:pPr>
        <w:spacing w:after="0" w:line="240" w:lineRule="auto"/>
      </w:pPr>
      <w:r>
        <w:continuationSeparator/>
      </w:r>
    </w:p>
  </w:footnote>
  <w:footnote w:id="1">
    <w:p w:rsidR="0035086D" w:rsidRPr="00E27DEC" w:rsidRDefault="0035086D" w:rsidP="0035086D">
      <w:pPr>
        <w:pStyle w:val="FootnoteText"/>
        <w:rPr>
          <w:sz w:val="18"/>
          <w:szCs w:val="18"/>
        </w:rPr>
      </w:pPr>
      <w:r w:rsidRPr="00E27DEC">
        <w:rPr>
          <w:rStyle w:val="FootnoteReference"/>
          <w:sz w:val="18"/>
          <w:szCs w:val="18"/>
        </w:rPr>
        <w:footnoteRef/>
      </w:r>
      <w:r w:rsidRPr="00E27DEC">
        <w:rPr>
          <w:sz w:val="18"/>
          <w:szCs w:val="18"/>
        </w:rPr>
        <w:t xml:space="preserve"> IRC DME Guide, p. 5. </w:t>
      </w:r>
    </w:p>
  </w:footnote>
  <w:footnote w:id="2">
    <w:p w:rsidR="0035086D" w:rsidRPr="00E27DEC" w:rsidRDefault="0035086D" w:rsidP="0035086D">
      <w:pPr>
        <w:pStyle w:val="CommentText"/>
        <w:spacing w:after="0"/>
        <w:rPr>
          <w:rFonts w:cs="Arial"/>
          <w:sz w:val="18"/>
          <w:szCs w:val="18"/>
        </w:rPr>
      </w:pPr>
      <w:r w:rsidRPr="00E27DEC">
        <w:rPr>
          <w:rStyle w:val="FootnoteReference"/>
          <w:rFonts w:cs="Arial"/>
          <w:sz w:val="18"/>
          <w:szCs w:val="18"/>
        </w:rPr>
        <w:footnoteRef/>
      </w:r>
      <w:r w:rsidRPr="00E27DEC">
        <w:rPr>
          <w:rFonts w:cs="Arial"/>
          <w:sz w:val="18"/>
          <w:szCs w:val="18"/>
        </w:rPr>
        <w:t xml:space="preserve"> Adapted from 3ie Impact Evaluation Glossary  </w:t>
      </w:r>
      <w:hyperlink r:id="rId1" w:history="1">
        <w:r w:rsidRPr="00E27DEC">
          <w:rPr>
            <w:rStyle w:val="Hyperlink"/>
            <w:rFonts w:cs="Arial"/>
            <w:sz w:val="18"/>
            <w:szCs w:val="18"/>
          </w:rPr>
          <w:t>http://www.3ieimpact.org/media/filer_public/2012/07/11/impact_evaluation_glossary_-_july_2012_3.pdf</w:t>
        </w:r>
      </w:hyperlink>
    </w:p>
  </w:footnote>
  <w:footnote w:id="3">
    <w:p w:rsidR="0035086D" w:rsidRPr="00E27DEC" w:rsidRDefault="0035086D" w:rsidP="0035086D">
      <w:pPr>
        <w:pStyle w:val="FootnoteText"/>
        <w:rPr>
          <w:sz w:val="18"/>
          <w:szCs w:val="18"/>
        </w:rPr>
      </w:pPr>
      <w:r w:rsidRPr="00E27DEC">
        <w:rPr>
          <w:rStyle w:val="FootnoteReference"/>
          <w:rFonts w:cs="Arial"/>
          <w:sz w:val="18"/>
          <w:szCs w:val="18"/>
        </w:rPr>
        <w:footnoteRef/>
      </w:r>
      <w:r w:rsidRPr="00E27DEC">
        <w:rPr>
          <w:rFonts w:cs="Arial"/>
          <w:sz w:val="18"/>
          <w:szCs w:val="18"/>
        </w:rPr>
        <w:t xml:space="preserve"> ibid</w:t>
      </w:r>
    </w:p>
  </w:footnote>
  <w:footnote w:id="4">
    <w:p w:rsidR="0035086D" w:rsidRPr="00E27DEC" w:rsidRDefault="0035086D" w:rsidP="0035086D">
      <w:pPr>
        <w:pStyle w:val="FootnoteText"/>
        <w:rPr>
          <w:sz w:val="18"/>
          <w:szCs w:val="18"/>
        </w:rPr>
      </w:pPr>
      <w:r w:rsidRPr="00E27DEC">
        <w:rPr>
          <w:rStyle w:val="FootnoteReference"/>
          <w:sz w:val="18"/>
          <w:szCs w:val="18"/>
        </w:rPr>
        <w:footnoteRef/>
      </w:r>
      <w:r w:rsidRPr="00E27DEC">
        <w:rPr>
          <w:sz w:val="18"/>
          <w:szCs w:val="18"/>
        </w:rPr>
        <w:t xml:space="preserve"> IRC DME Guide, p. 43. </w:t>
      </w:r>
    </w:p>
  </w:footnote>
  <w:footnote w:id="5">
    <w:p w:rsidR="0035086D" w:rsidRPr="00E27DEC" w:rsidRDefault="0035086D" w:rsidP="0035086D">
      <w:pPr>
        <w:pStyle w:val="FootnoteText"/>
        <w:rPr>
          <w:sz w:val="18"/>
          <w:szCs w:val="18"/>
        </w:rPr>
      </w:pPr>
      <w:r w:rsidRPr="00E27DEC">
        <w:rPr>
          <w:rStyle w:val="FootnoteReference"/>
          <w:sz w:val="18"/>
          <w:szCs w:val="18"/>
        </w:rPr>
        <w:footnoteRef/>
      </w:r>
      <w:r w:rsidRPr="00E27DEC">
        <w:rPr>
          <w:sz w:val="18"/>
          <w:szCs w:val="18"/>
        </w:rPr>
        <w:t xml:space="preserve"> IRC’s Guide to Design, Monitoring and Evaluation, November 2005, p. 42.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463D05"/>
    <w:multiLevelType w:val="hybridMultilevel"/>
    <w:tmpl w:val="1B98D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B17"/>
    <w:rsid w:val="0011489A"/>
    <w:rsid w:val="00290EF1"/>
    <w:rsid w:val="00330DDB"/>
    <w:rsid w:val="0035086D"/>
    <w:rsid w:val="00374A3F"/>
    <w:rsid w:val="006B36B5"/>
    <w:rsid w:val="00990CB9"/>
    <w:rsid w:val="00A45B17"/>
    <w:rsid w:val="00B66330"/>
    <w:rsid w:val="00C37D87"/>
    <w:rsid w:val="00EF76CA"/>
    <w:rsid w:val="00F06038"/>
    <w:rsid w:val="00FC5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71317-3441-460D-BC06-D38E6B970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B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5B17"/>
    <w:pPr>
      <w:spacing w:after="0" w:line="240" w:lineRule="auto"/>
      <w:ind w:left="720"/>
    </w:pPr>
    <w:rPr>
      <w:rFonts w:ascii="Calibri" w:hAnsi="Calibri" w:cs="Times New Roman"/>
    </w:rPr>
  </w:style>
  <w:style w:type="character" w:customStyle="1" w:styleId="ListParagraphChar">
    <w:name w:val="List Paragraph Char"/>
    <w:basedOn w:val="DefaultParagraphFont"/>
    <w:link w:val="ListParagraph"/>
    <w:uiPriority w:val="34"/>
    <w:rsid w:val="00A45B17"/>
    <w:rPr>
      <w:rFonts w:ascii="Calibri" w:hAnsi="Calibri" w:cs="Times New Roman"/>
    </w:rPr>
  </w:style>
  <w:style w:type="character" w:styleId="Hyperlink">
    <w:name w:val="Hyperlink"/>
    <w:basedOn w:val="DefaultParagraphFont"/>
    <w:uiPriority w:val="99"/>
    <w:unhideWhenUsed/>
    <w:rsid w:val="00A45B17"/>
    <w:rPr>
      <w:color w:val="0563C1" w:themeColor="hyperlink"/>
      <w:u w:val="single"/>
    </w:rPr>
  </w:style>
  <w:style w:type="paragraph" w:styleId="FootnoteText">
    <w:name w:val="footnote text"/>
    <w:basedOn w:val="Normal"/>
    <w:link w:val="FootnoteTextChar"/>
    <w:uiPriority w:val="99"/>
    <w:unhideWhenUsed/>
    <w:rsid w:val="00374A3F"/>
    <w:pPr>
      <w:spacing w:before="120" w:after="120" w:line="300" w:lineRule="exact"/>
      <w:jc w:val="both"/>
    </w:pPr>
    <w:rPr>
      <w:rFonts w:ascii="Arial" w:eastAsiaTheme="minorEastAsia" w:hAnsi="Arial"/>
      <w:szCs w:val="24"/>
    </w:rPr>
  </w:style>
  <w:style w:type="character" w:customStyle="1" w:styleId="FootnoteTextChar">
    <w:name w:val="Footnote Text Char"/>
    <w:basedOn w:val="DefaultParagraphFont"/>
    <w:link w:val="FootnoteText"/>
    <w:uiPriority w:val="99"/>
    <w:rsid w:val="00374A3F"/>
    <w:rPr>
      <w:rFonts w:ascii="Arial" w:eastAsiaTheme="minorEastAsia" w:hAnsi="Arial"/>
      <w:szCs w:val="24"/>
    </w:rPr>
  </w:style>
  <w:style w:type="paragraph" w:styleId="CommentText">
    <w:name w:val="annotation text"/>
    <w:basedOn w:val="Normal"/>
    <w:link w:val="CommentTextChar"/>
    <w:uiPriority w:val="99"/>
    <w:unhideWhenUsed/>
    <w:rsid w:val="00EF76CA"/>
    <w:pPr>
      <w:spacing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EF76CA"/>
    <w:rPr>
      <w:rFonts w:eastAsiaTheme="minorEastAsia"/>
      <w:sz w:val="20"/>
      <w:szCs w:val="20"/>
      <w:lang w:eastAsia="ja-JP"/>
    </w:rPr>
  </w:style>
  <w:style w:type="character" w:styleId="FootnoteReference">
    <w:name w:val="footnote reference"/>
    <w:basedOn w:val="DefaultParagraphFont"/>
    <w:uiPriority w:val="99"/>
    <w:unhideWhenUsed/>
    <w:rsid w:val="00EF76CA"/>
    <w:rPr>
      <w:vertAlign w:val="superscript"/>
    </w:rPr>
  </w:style>
  <w:style w:type="table" w:styleId="ListTable1Light-Accent6">
    <w:name w:val="List Table 1 Light Accent 6"/>
    <w:basedOn w:val="TableNormal"/>
    <w:uiPriority w:val="46"/>
    <w:rsid w:val="00EF76CA"/>
    <w:pPr>
      <w:spacing w:after="0" w:line="240" w:lineRule="auto"/>
    </w:pPr>
    <w:rPr>
      <w:rFonts w:eastAsiaTheme="minorEastAsia"/>
      <w:lang w:eastAsia="ja-JP"/>
    </w:rPr>
    <w:tblPr>
      <w:tblStyleRowBandSize w:val="1"/>
      <w:tblStyleColBandSize w:val="1"/>
    </w:tblPr>
    <w:tcPr>
      <w:shd w:val="clear" w:color="auto" w:fill="FFFFFF" w:themeFill="background1"/>
    </w:tc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tcBorders>
          <w:top w:val="nil"/>
          <w:left w:val="nil"/>
          <w:bottom w:val="nil"/>
          <w:right w:val="nil"/>
          <w:insideH w:val="nil"/>
          <w:insideV w:val="nil"/>
          <w:tl2br w:val="nil"/>
          <w:tr2bl w:val="nil"/>
        </w:tcBorders>
        <w:shd w:val="clear" w:color="auto" w:fill="FEEEC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alingclassrooms.org/downloads/IRC_Guide_Design_Monitoring_Evaluation.pdf" TargetMode="External"/><Relationship Id="rId13" Type="http://schemas.openxmlformats.org/officeDocument/2006/relationships/hyperlink" Target="http://educationcluster.net/topics-lp/information-and-knowledge-management/" TargetMode="External"/><Relationship Id="rId3" Type="http://schemas.openxmlformats.org/officeDocument/2006/relationships/settings" Target="settings.xml"/><Relationship Id="rId7" Type="http://schemas.openxmlformats.org/officeDocument/2006/relationships/hyperlink" Target="https://rescue.app.box.com/v/MfAToolkit" TargetMode="External"/><Relationship Id="rId12" Type="http://schemas.openxmlformats.org/officeDocument/2006/relationships/hyperlink" Target="http://toolkit.ineesite.org/inee_minimum_standards/implementation_too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pwg.net/minimum-standard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resourcecentre.savethechildren.se/sites/default/files/documents/5459.pdf" TargetMode="External"/><Relationship Id="rId4" Type="http://schemas.openxmlformats.org/officeDocument/2006/relationships/webSettings" Target="webSettings.xml"/><Relationship Id="rId9" Type="http://schemas.openxmlformats.org/officeDocument/2006/relationships/hyperlink" Target="http://dmeforpeace.org/learn/designing-results-integrating-monitoring-and-evaluation-conflict-transformation-activiti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3ieimpact.org/media/filer_public/2012/07/11/impact_evaluation_glossary_-_july_2012_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1184</Words>
  <Characters>6755</Characters>
  <Application>Microsoft Office Word</Application>
  <DocSecurity>0</DocSecurity>
  <Lines>56</Lines>
  <Paragraphs>15</Paragraphs>
  <ScaleCrop>false</ScaleCrop>
  <Company/>
  <LinksUpToDate>false</LinksUpToDate>
  <CharactersWithSpaces>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Davis</dc:creator>
  <cp:keywords/>
  <dc:description/>
  <cp:lastModifiedBy>Nivedita Chopra</cp:lastModifiedBy>
  <cp:revision>7</cp:revision>
  <dcterms:created xsi:type="dcterms:W3CDTF">2016-01-02T19:35:00Z</dcterms:created>
  <dcterms:modified xsi:type="dcterms:W3CDTF">2016-07-11T18:55:00Z</dcterms:modified>
</cp:coreProperties>
</file>